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5DF81" w14:textId="034CB691" w:rsidR="008132DC" w:rsidRPr="008132DC" w:rsidRDefault="008132DC" w:rsidP="004C5E0F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2024 UWSOM SPRING STUDENT SURVEY</w:t>
      </w:r>
    </w:p>
    <w:p w14:paraId="172DFE16" w14:textId="77777777" w:rsidR="008132DC" w:rsidRPr="008132DC" w:rsidRDefault="008132DC" w:rsidP="004C5E0F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7A3CB4D2" w14:textId="64BCCF6A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WHY IS THIS SURVEY IMPORTANT?</w:t>
      </w:r>
    </w:p>
    <w:p w14:paraId="26AC3932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15221129" w14:textId="424002C1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Your feedback allows the medical school to achieve the following:</w:t>
      </w:r>
    </w:p>
    <w:p w14:paraId="6F4C3156" w14:textId="2337A6A2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Improve your educational experiences.</w:t>
      </w:r>
    </w:p>
    <w:p w14:paraId="0FEB5641" w14:textId="468384E2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Demonstrate compliance with accreditation standards.</w:t>
      </w:r>
    </w:p>
    <w:p w14:paraId="5BD9306B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76E4CD44" w14:textId="3F5907FA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WHAT DOES THE SURVEY COVER?</w:t>
      </w:r>
    </w:p>
    <w:p w14:paraId="23CF0600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2057557F" w14:textId="636888E9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The survey includes questions covering a wide range of topics, such as:</w:t>
      </w:r>
    </w:p>
    <w:p w14:paraId="471A3F8B" w14:textId="7D6F5CF4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Curriculum</w:t>
      </w:r>
    </w:p>
    <w:p w14:paraId="2D6E6437" w14:textId="424B6280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Facilities</w:t>
      </w:r>
    </w:p>
    <w:p w14:paraId="0765CD14" w14:textId="2090572F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Learning Environment</w:t>
      </w:r>
    </w:p>
    <w:p w14:paraId="6A1707A2" w14:textId="2218F4B8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Student Services</w:t>
      </w:r>
    </w:p>
    <w:p w14:paraId="32AEA862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08C0E331" w14:textId="42FDA396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HOW LONG IS THE SURVEY OPEN?</w:t>
      </w:r>
    </w:p>
    <w:p w14:paraId="2CCC0E96" w14:textId="59F3547A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MS1: May 13 – June </w:t>
      </w:r>
      <w:r w:rsidR="00802DD8">
        <w:rPr>
          <w:rFonts w:ascii="Calibri" w:eastAsia="Times New Roman" w:hAnsi="Calibri" w:cs="Calibri"/>
          <w:iCs w:val="0"/>
          <w:color w:val="212121"/>
        </w:rPr>
        <w:t>28</w:t>
      </w:r>
    </w:p>
    <w:p w14:paraId="28A724FC" w14:textId="1FAF0750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MS2: June </w:t>
      </w:r>
      <w:r w:rsidR="00802DD8">
        <w:rPr>
          <w:rFonts w:ascii="Calibri" w:eastAsia="Times New Roman" w:hAnsi="Calibri" w:cs="Calibri"/>
          <w:iCs w:val="0"/>
          <w:color w:val="212121"/>
        </w:rPr>
        <w:t>18</w:t>
      </w:r>
      <w:r>
        <w:rPr>
          <w:rFonts w:ascii="Calibri" w:eastAsia="Times New Roman" w:hAnsi="Calibri" w:cs="Calibri"/>
          <w:iCs w:val="0"/>
          <w:color w:val="212121"/>
        </w:rPr>
        <w:t xml:space="preserve"> – July 8</w:t>
      </w:r>
    </w:p>
    <w:p w14:paraId="3249ACDB" w14:textId="0FAA91B9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MS3: June </w:t>
      </w:r>
      <w:r w:rsidR="00802DD8">
        <w:rPr>
          <w:rFonts w:ascii="Calibri" w:eastAsia="Times New Roman" w:hAnsi="Calibri" w:cs="Calibri"/>
          <w:iCs w:val="0"/>
          <w:color w:val="212121"/>
        </w:rPr>
        <w:t>18</w:t>
      </w:r>
      <w:r>
        <w:rPr>
          <w:rFonts w:ascii="Calibri" w:eastAsia="Times New Roman" w:hAnsi="Calibri" w:cs="Calibri"/>
          <w:iCs w:val="0"/>
          <w:color w:val="212121"/>
        </w:rPr>
        <w:t xml:space="preserve"> – July 8</w:t>
      </w:r>
    </w:p>
    <w:p w14:paraId="23E9EFA2" w14:textId="7136EF08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MS4: May 20 – </w:t>
      </w:r>
      <w:r w:rsidR="00DA2BF1">
        <w:rPr>
          <w:rFonts w:ascii="Calibri" w:eastAsia="Times New Roman" w:hAnsi="Calibri" w:cs="Calibri"/>
          <w:iCs w:val="0"/>
          <w:color w:val="212121"/>
        </w:rPr>
        <w:t>June 12</w:t>
      </w:r>
    </w:p>
    <w:p w14:paraId="6526D29B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0506E44E" w14:textId="7F8ED954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Our goal is to achieve 80% response rates.</w:t>
      </w:r>
    </w:p>
    <w:p w14:paraId="460C4D09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0FBABD76" w14:textId="1CF193DB" w:rsidR="008132DC" w:rsidRPr="008132DC" w:rsidRDefault="008132DC" w:rsidP="008132D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ARE THERE SURVEY INCENTIVES?</w:t>
      </w:r>
    </w:p>
    <w:p w14:paraId="7CA88584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42F97395" w14:textId="0A993FA9" w:rsidR="008132DC" w:rsidRDefault="008132DC" w:rsidP="008132D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Yes! There will be two $10 Tango gift card drawings per campus when reaching: </w:t>
      </w:r>
    </w:p>
    <w:p w14:paraId="1707DB89" w14:textId="216A6D56" w:rsidR="008132DC" w:rsidRDefault="008132DC" w:rsidP="00813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60% response rates</w:t>
      </w:r>
    </w:p>
    <w:p w14:paraId="623EF1D3" w14:textId="493A718E" w:rsidR="008132DC" w:rsidRDefault="008132DC" w:rsidP="008132DC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80% response rates</w:t>
      </w:r>
    </w:p>
    <w:p w14:paraId="79B628E8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6AA375A7" w14:textId="49BC06BC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YOU SAID, WE DID….</w:t>
      </w:r>
    </w:p>
    <w:p w14:paraId="40676351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</w:p>
    <w:p w14:paraId="07813155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How we have followed up on your input:</w:t>
      </w:r>
    </w:p>
    <w:p w14:paraId="024E3AE3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Scholarly Opportunities: </w:t>
      </w:r>
    </w:p>
    <w:p w14:paraId="0E35C200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 w:rsidRPr="004C5E0F">
        <w:rPr>
          <w:rFonts w:ascii="Calibri" w:eastAsia="Times New Roman" w:hAnsi="Calibri" w:cs="Calibri"/>
          <w:iCs w:val="0"/>
          <w:color w:val="212121"/>
        </w:rPr>
        <w:t xml:space="preserve">The </w:t>
      </w:r>
      <w:r>
        <w:rPr>
          <w:rFonts w:ascii="Calibri" w:eastAsia="Times New Roman" w:hAnsi="Calibri" w:cs="Calibri"/>
          <w:iCs w:val="0"/>
          <w:color w:val="212121"/>
        </w:rPr>
        <w:t>Triple I</w:t>
      </w:r>
      <w:r w:rsidRPr="004C5E0F">
        <w:rPr>
          <w:rFonts w:ascii="Calibri" w:eastAsia="Times New Roman" w:hAnsi="Calibri" w:cs="Calibri"/>
          <w:iCs w:val="0"/>
          <w:color w:val="212121"/>
        </w:rPr>
        <w:t xml:space="preserve"> </w:t>
      </w:r>
      <w:r>
        <w:rPr>
          <w:rFonts w:ascii="Calibri" w:eastAsia="Times New Roman" w:hAnsi="Calibri" w:cs="Calibri"/>
          <w:iCs w:val="0"/>
          <w:color w:val="212121"/>
        </w:rPr>
        <w:t>team</w:t>
      </w:r>
      <w:r w:rsidRPr="004C5E0F">
        <w:rPr>
          <w:rFonts w:ascii="Calibri" w:eastAsia="Times New Roman" w:hAnsi="Calibri" w:cs="Calibri"/>
          <w:iCs w:val="0"/>
          <w:color w:val="212121"/>
        </w:rPr>
        <w:t xml:space="preserve"> </w:t>
      </w:r>
      <w:r>
        <w:rPr>
          <w:rFonts w:ascii="Calibri" w:eastAsia="Times New Roman" w:hAnsi="Calibri" w:cs="Calibri"/>
          <w:iCs w:val="0"/>
          <w:color w:val="212121"/>
        </w:rPr>
        <w:t>expanded information sessions based on student input.</w:t>
      </w:r>
    </w:p>
    <w:p w14:paraId="3F6041EF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The team o</w:t>
      </w:r>
      <w:r w:rsidRPr="004C5E0F">
        <w:rPr>
          <w:rFonts w:ascii="Calibri" w:eastAsia="Times New Roman" w:hAnsi="Calibri" w:cs="Calibri"/>
          <w:iCs w:val="0"/>
          <w:color w:val="212121"/>
        </w:rPr>
        <w:t>ffers regular office hours in December. </w:t>
      </w:r>
    </w:p>
    <w:p w14:paraId="6ACE46B0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Curriculum Integration: </w:t>
      </w:r>
    </w:p>
    <w:p w14:paraId="067AB81D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Starting with E22, more hours added to integration weeks.</w:t>
      </w:r>
    </w:p>
    <w:p w14:paraId="2CF5F2D9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Career Advising Services:</w:t>
      </w:r>
    </w:p>
    <w:p w14:paraId="72723F27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Career planning milestones guide student planning from MS1 to Match. </w:t>
      </w:r>
    </w:p>
    <w:p w14:paraId="23EDB095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3 new career planning videos focus on extra-curricular &amp; research activities. </w:t>
      </w:r>
    </w:p>
    <w:p w14:paraId="709C0FE1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Academic Support Services:</w:t>
      </w:r>
    </w:p>
    <w:p w14:paraId="2E1A1D15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Seattle: Adding another full-time learning specialist in 2024.</w:t>
      </w:r>
    </w:p>
    <w:p w14:paraId="3ADA694C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Spokane: Hired a new full-time learning specialist.</w:t>
      </w:r>
    </w:p>
    <w:p w14:paraId="68066B10" w14:textId="77777777" w:rsidR="008132DC" w:rsidRPr="008132DC" w:rsidRDefault="008132DC" w:rsidP="008132D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Access to Healthcare During Clerkship</w:t>
      </w: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>:</w:t>
      </w:r>
    </w:p>
    <w:p w14:paraId="59463893" w14:textId="77777777" w:rsidR="008132DC" w:rsidRPr="004C5E0F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 w:rsidRPr="004C5E0F">
        <w:rPr>
          <w:rFonts w:ascii="Calibri" w:eastAsia="Times New Roman" w:hAnsi="Calibri" w:cs="Calibri"/>
          <w:iCs w:val="0"/>
          <w:color w:val="212121"/>
        </w:rPr>
        <w:t>Policy Changes: Attendance &amp; Absentee Policy and Policy on Student Access to Anticipated Healthcare</w:t>
      </w:r>
    </w:p>
    <w:p w14:paraId="75F55197" w14:textId="77777777" w:rsidR="008132DC" w:rsidRPr="008132DC" w:rsidRDefault="008132DC" w:rsidP="008132D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Centralization of healthcare info for student access</w:t>
      </w:r>
    </w:p>
    <w:p w14:paraId="5F48072A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lastRenderedPageBreak/>
        <w:t> </w:t>
      </w:r>
    </w:p>
    <w:p w14:paraId="6947B317" w14:textId="77777777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What we are currently working on: </w:t>
      </w:r>
    </w:p>
    <w:p w14:paraId="7EAE7B94" w14:textId="77777777" w:rsidR="008132DC" w:rsidRPr="008132DC" w:rsidRDefault="008132DC" w:rsidP="008132D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The Learning Environment: </w:t>
      </w:r>
    </w:p>
    <w:p w14:paraId="06C7D122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Making mistreatment policies and reporting procedures accessible to students via reference cards (with QR codes). </w:t>
      </w:r>
    </w:p>
    <w:p w14:paraId="3AAEBC46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Incident Response and Oversight Committee (IROC) expands reviews of mistreatment reports covering both Foundations and Clinical Phases. </w:t>
      </w:r>
    </w:p>
    <w:p w14:paraId="5C79A8BD" w14:textId="77777777" w:rsidR="008132DC" w:rsidRPr="008132DC" w:rsidRDefault="008132DC" w:rsidP="008132D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Responsiveness to Student Feedback:</w:t>
      </w:r>
    </w:p>
    <w:p w14:paraId="424B364C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The Curriculum leadership continuously communicates via weekly student newsletters curricular improvements.</w:t>
      </w:r>
    </w:p>
    <w:p w14:paraId="5A6EE111" w14:textId="77777777" w:rsidR="008132DC" w:rsidRPr="008132DC" w:rsidRDefault="008132DC" w:rsidP="008132D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iCs w:val="0"/>
          <w:color w:val="auto"/>
        </w:rPr>
      </w:pPr>
      <w:r w:rsidRPr="008132DC">
        <w:rPr>
          <w:rFonts w:ascii="Calibri" w:eastAsia="Times New Roman" w:hAnsi="Calibri" w:cs="Calibri"/>
          <w:b/>
          <w:bCs/>
          <w:iCs w:val="0"/>
          <w:color w:val="auto"/>
        </w:rPr>
        <w:t>Clerkship Assessment: </w:t>
      </w:r>
    </w:p>
    <w:p w14:paraId="6ABD32BF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School moved to a weighted percentage system of clinical performance and subject exam grade for grading in Spring 2023. </w:t>
      </w:r>
    </w:p>
    <w:p w14:paraId="7750C6F7" w14:textId="77777777" w:rsidR="008132DC" w:rsidRPr="008132DC" w:rsidRDefault="008132DC" w:rsidP="008132DC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iCs w:val="0"/>
          <w:color w:val="auto"/>
        </w:rPr>
      </w:pPr>
      <w:r w:rsidRPr="008132DC">
        <w:rPr>
          <w:rFonts w:ascii="Calibri" w:eastAsia="Times New Roman" w:hAnsi="Calibri" w:cs="Calibri"/>
          <w:iCs w:val="0"/>
          <w:color w:val="auto"/>
        </w:rPr>
        <w:t>The Clinical Assessment Structure moves to a competency-based framework with Pass/Fail grading with a goal to implement in Spring 2025.</w:t>
      </w:r>
    </w:p>
    <w:p w14:paraId="172F2A94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7F5C4400" w14:textId="7E44243D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b/>
          <w:bCs/>
          <w:iCs w:val="0"/>
          <w:color w:val="212121"/>
        </w:rPr>
      </w:pPr>
      <w:r w:rsidRPr="008132DC">
        <w:rPr>
          <w:rFonts w:ascii="Calibri" w:eastAsia="Times New Roman" w:hAnsi="Calibri" w:cs="Calibri"/>
          <w:b/>
          <w:bCs/>
          <w:iCs w:val="0"/>
          <w:color w:val="212121"/>
        </w:rPr>
        <w:t xml:space="preserve">WANT TO KNOW MORE? </w:t>
      </w:r>
    </w:p>
    <w:p w14:paraId="54D1FE3F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64CF1F4D" w14:textId="35942A0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The School’s Ongoing Continuous Quality Improvement Efforts: </w:t>
      </w:r>
      <w:hyperlink r:id="rId5" w:history="1">
        <w:r w:rsidRPr="008A3351">
          <w:rPr>
            <w:rStyle w:val="Hyperlink"/>
            <w:rFonts w:ascii="Calibri" w:eastAsia="Times New Roman" w:hAnsi="Calibri" w:cs="Calibri"/>
            <w:iCs w:val="0"/>
          </w:rPr>
          <w:t>https://education.uwmedicine.org/eqi/cqi-spotlight-we-heard-you/</w:t>
        </w:r>
      </w:hyperlink>
    </w:p>
    <w:p w14:paraId="6FB9C36F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7A513964" w14:textId="45436776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UWSOM Accreditation Cycle: </w:t>
      </w:r>
      <w:hyperlink r:id="rId6" w:history="1">
        <w:r w:rsidRPr="008A3351">
          <w:rPr>
            <w:rStyle w:val="Hyperlink"/>
            <w:rFonts w:ascii="Calibri" w:eastAsia="Times New Roman" w:hAnsi="Calibri" w:cs="Calibri"/>
            <w:iCs w:val="0"/>
          </w:rPr>
          <w:t>https://education.uwmedicine.org/eqi/LCME/</w:t>
        </w:r>
      </w:hyperlink>
      <w:r>
        <w:rPr>
          <w:rFonts w:ascii="Calibri" w:eastAsia="Times New Roman" w:hAnsi="Calibri" w:cs="Calibri"/>
          <w:iCs w:val="0"/>
          <w:color w:val="212121"/>
        </w:rPr>
        <w:t xml:space="preserve"> </w:t>
      </w:r>
    </w:p>
    <w:p w14:paraId="43ED07C3" w14:textId="77777777" w:rsid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4538842F" w14:textId="08662D14" w:rsidR="008132DC" w:rsidRPr="008132DC" w:rsidRDefault="008132DC" w:rsidP="008132DC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>For questions regarding the survey, please email eqi@uw.edu.</w:t>
      </w:r>
    </w:p>
    <w:p w14:paraId="5243C172" w14:textId="77777777" w:rsidR="008132DC" w:rsidRDefault="008132DC" w:rsidP="004C5E0F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0436933C" w14:textId="77777777" w:rsidR="008132DC" w:rsidRDefault="008132DC" w:rsidP="004C5E0F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</w:p>
    <w:p w14:paraId="1DD25EDE" w14:textId="193AF262" w:rsidR="008132DC" w:rsidRDefault="008132DC" w:rsidP="004C5E0F">
      <w:pPr>
        <w:spacing w:after="0" w:line="240" w:lineRule="auto"/>
        <w:rPr>
          <w:rFonts w:ascii="Calibri" w:eastAsia="Times New Roman" w:hAnsi="Calibri" w:cs="Calibri"/>
          <w:iCs w:val="0"/>
          <w:color w:val="212121"/>
        </w:rPr>
      </w:pPr>
      <w:r>
        <w:rPr>
          <w:rFonts w:ascii="Calibri" w:eastAsia="Times New Roman" w:hAnsi="Calibri" w:cs="Calibri"/>
          <w:iCs w:val="0"/>
          <w:color w:val="212121"/>
        </w:rPr>
        <w:t xml:space="preserve">KEEP AN EYE ON THE CQI SPOTLIGHT SERIES FOR ONGOING UPDATES ABOUT HOW WE ARE USING YOUR FEEDBACK TO MAKE REAL CHANGES. WE ARE COMMITED TO KEEPING YOU INFORMED. </w:t>
      </w:r>
    </w:p>
    <w:sectPr w:rsidR="0081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B08B8"/>
    <w:multiLevelType w:val="hybridMultilevel"/>
    <w:tmpl w:val="BA92EFA8"/>
    <w:lvl w:ilvl="0" w:tplc="0D189ED4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503"/>
    <w:multiLevelType w:val="multilevel"/>
    <w:tmpl w:val="25F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33459"/>
    <w:multiLevelType w:val="multilevel"/>
    <w:tmpl w:val="0E32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0326A"/>
    <w:multiLevelType w:val="hybridMultilevel"/>
    <w:tmpl w:val="EB92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679">
    <w:abstractNumId w:val="2"/>
  </w:num>
  <w:num w:numId="2" w16cid:durableId="1926260805">
    <w:abstractNumId w:val="1"/>
  </w:num>
  <w:num w:numId="3" w16cid:durableId="1143935576">
    <w:abstractNumId w:val="3"/>
  </w:num>
  <w:num w:numId="4" w16cid:durableId="22302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0F"/>
    <w:rsid w:val="00264160"/>
    <w:rsid w:val="004C5E0F"/>
    <w:rsid w:val="0050728C"/>
    <w:rsid w:val="0077490E"/>
    <w:rsid w:val="00802DD8"/>
    <w:rsid w:val="008132DC"/>
    <w:rsid w:val="00952BF6"/>
    <w:rsid w:val="009A7B15"/>
    <w:rsid w:val="00A734D9"/>
    <w:rsid w:val="00B16708"/>
    <w:rsid w:val="00B773B6"/>
    <w:rsid w:val="00C22FD0"/>
    <w:rsid w:val="00DA2BF1"/>
    <w:rsid w:val="00D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45C7"/>
  <w15:chartTrackingRefBased/>
  <w15:docId w15:val="{C1231167-9FE7-BF42-8B54-A4B44DF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iCs/>
        <w:color w:val="000000" w:themeColor="text1"/>
        <w:sz w:val="22"/>
        <w:szCs w:val="22"/>
        <w:lang w:val="en-US" w:eastAsia="ko-K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E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E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 w:val="0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E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E0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E0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E0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E0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E0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E0F"/>
    <w:rPr>
      <w:rFonts w:asciiTheme="minorHAnsi" w:eastAsiaTheme="majorEastAsia" w:hAnsiTheme="minorHAnsi" w:cstheme="majorBidi"/>
      <w:i/>
      <w:iCs w:val="0"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E0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E0F"/>
    <w:rPr>
      <w:rFonts w:asciiTheme="minorHAnsi" w:eastAsiaTheme="majorEastAsia" w:hAnsiTheme="minorHAnsi" w:cstheme="majorBidi"/>
      <w:i/>
      <w:iCs w:val="0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E0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E0F"/>
    <w:rPr>
      <w:rFonts w:asciiTheme="minorHAnsi" w:eastAsiaTheme="majorEastAsia" w:hAnsiTheme="minorHAnsi" w:cstheme="majorBidi"/>
      <w:i/>
      <w:iCs w:val="0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E0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E0F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E0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E0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E0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E0F"/>
    <w:pPr>
      <w:spacing w:before="160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E0F"/>
    <w:rPr>
      <w:i/>
      <w:iCs w:val="0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5E0F"/>
    <w:rPr>
      <w:i/>
      <w:iCs w:val="0"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 w:val="0"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E0F"/>
    <w:rPr>
      <w:i/>
      <w:iCs w:val="0"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E0F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4C5E0F"/>
  </w:style>
  <w:style w:type="character" w:styleId="CommentReference">
    <w:name w:val="annotation reference"/>
    <w:basedOn w:val="DefaultParagraphFont"/>
    <w:uiPriority w:val="99"/>
    <w:semiHidden/>
    <w:unhideWhenUsed/>
    <w:rsid w:val="00DC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2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uwmedicine.org/eqi/LCME/" TargetMode="External"/><Relationship Id="rId5" Type="http://schemas.openxmlformats.org/officeDocument/2006/relationships/hyperlink" Target="https://education.uwmedicine.org/eqi/cqi-spotlight-we-heard-y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Kim</dc:creator>
  <cp:keywords/>
  <dc:description/>
  <cp:lastModifiedBy>Rhea Fagnan</cp:lastModifiedBy>
  <cp:revision>4</cp:revision>
  <dcterms:created xsi:type="dcterms:W3CDTF">2024-05-10T15:40:00Z</dcterms:created>
  <dcterms:modified xsi:type="dcterms:W3CDTF">2024-06-18T16:54:00Z</dcterms:modified>
</cp:coreProperties>
</file>